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54" w:rsidRDefault="006F585B" w:rsidP="006F5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85B">
        <w:rPr>
          <w:rFonts w:ascii="Times New Roman" w:hAnsi="Times New Roman" w:cs="Times New Roman"/>
          <w:sz w:val="24"/>
          <w:szCs w:val="24"/>
        </w:rPr>
        <w:t>Протокол №1</w:t>
      </w:r>
    </w:p>
    <w:p w:rsidR="006F585B" w:rsidRDefault="006F585B" w:rsidP="006F5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85B" w:rsidRDefault="006F585B" w:rsidP="006F5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рисутствовало:10 человек</w:t>
      </w:r>
    </w:p>
    <w:p w:rsidR="006F585B" w:rsidRDefault="006F585B" w:rsidP="006F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 Анализ входной диагностики учащихся.</w:t>
      </w:r>
    </w:p>
    <w:p w:rsidR="006F585B" w:rsidRPr="006F585B" w:rsidRDefault="006F585B" w:rsidP="006F5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Входная 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2-4 классов осуществлялась посредством проведения комплексной контрольной работы.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85B" w:rsidRPr="006F585B" w:rsidRDefault="006F585B" w:rsidP="006F5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585B">
        <w:rPr>
          <w:rFonts w:ascii="Times New Roman" w:eastAsia="Calibri" w:hAnsi="Times New Roman" w:cs="Times New Roman"/>
          <w:sz w:val="24"/>
          <w:szCs w:val="24"/>
          <w:u w:val="single"/>
        </w:rPr>
        <w:t>По итогам комплексной контрольной работы получены следующие результаты: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85B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 а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26 обучающихся)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Повышенный уровень показали 3,9%, базовый уровень – 46%, низкий уровень – 50%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ACCF4" wp14:editId="0E757E64">
            <wp:extent cx="4542739" cy="1367942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t>2 б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21 обучающийся)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Повышенный уровень показали 9,5%, базовый уровень – 57%, низкий уровень – 33,5%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E7C52" wp14:editId="2B744642">
            <wp:extent cx="4615891" cy="1441095"/>
            <wp:effectExtent l="0" t="0" r="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85B"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End"/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 а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21 учащийся)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повышенный уровень – 43%, базовый уровень – 43%, низкий уровень – 14%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81E1B" wp14:editId="0067BA45">
            <wp:extent cx="4615891" cy="1331366"/>
            <wp:effectExtent l="0" t="0" r="0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t>3 б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20 учащихся)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повышенный уровень – 20%, базовый уровень – 70%, низкий уровень – 10%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18EFB" wp14:editId="07B70995">
            <wp:extent cx="4542739" cy="145572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в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9 учащихся)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повышенный уровень –0%, базовый уровень – 67%, низкий уровень – 33%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74531" wp14:editId="102614C9">
            <wp:extent cx="4667097" cy="1426464"/>
            <wp:effectExtent l="0" t="0" r="63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85B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 а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21 учащийся)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Высокий уровень показали 19%, повышенный уровень – 57%, базовый уровень – 24%, низкий уровень – 0%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82E66" wp14:editId="0F18CE8F">
            <wp:extent cx="5552236" cy="1441094"/>
            <wp:effectExtent l="0" t="0" r="0" b="698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585B" w:rsidRPr="006F585B" w:rsidRDefault="006F585B" w:rsidP="006F5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t>4 б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20 учащихся)</w:t>
      </w:r>
    </w:p>
    <w:p w:rsidR="006F585B" w:rsidRPr="006F585B" w:rsidRDefault="006F585B" w:rsidP="006F5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Высокий уровень показали 16%, повышенный уровень – 47%, базовый уровень – 16%, низкий уровень – 21%</w:t>
      </w:r>
    </w:p>
    <w:p w:rsidR="006F585B" w:rsidRPr="006F585B" w:rsidRDefault="006F585B" w:rsidP="006F5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8ECB6" wp14:editId="625DD4C3">
            <wp:extent cx="5369357" cy="1492301"/>
            <wp:effectExtent l="0" t="0" r="317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85B" w:rsidRPr="006F585B" w:rsidRDefault="006F585B" w:rsidP="006F58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Проведённая диагностика позволила педагогам выявить трудности, возникшие у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обучающихся начальных классов в процессе выполнения </w:t>
      </w:r>
      <w:proofErr w:type="gramStart"/>
      <w:r w:rsidRPr="006F585B">
        <w:rPr>
          <w:rFonts w:ascii="Times New Roman" w:eastAsia="Calibri" w:hAnsi="Times New Roman" w:cs="Times New Roman"/>
          <w:sz w:val="24"/>
          <w:szCs w:val="24"/>
        </w:rPr>
        <w:t>входной</w:t>
      </w:r>
      <w:proofErr w:type="gram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комплексной контрольной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работы, обозначить педагогические проблемы, повлиявшие на показатели уровня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85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УУД младших школьников, и как следствие, определить диапазон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дальнейшего конструирования и корректировки педагогической деятельности </w:t>
      </w:r>
      <w:proofErr w:type="gramStart"/>
      <w:r w:rsidRPr="006F585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85B"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перехода на ФГОС нового поколения: в связи с выявленными проблемами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актуальность в педагогической деятельности приобретает организация деятельности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обучающихся в направлении формирования навыков работы с текстом и выполнения</w:t>
      </w:r>
    </w:p>
    <w:p w:rsidR="006F585B" w:rsidRP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85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заданий. Для этой цели педагогами может быть </w:t>
      </w:r>
      <w:proofErr w:type="gramStart"/>
      <w:r w:rsidRPr="006F585B">
        <w:rPr>
          <w:rFonts w:ascii="Times New Roman" w:eastAsia="Calibri" w:hAnsi="Times New Roman" w:cs="Times New Roman"/>
          <w:sz w:val="24"/>
          <w:szCs w:val="24"/>
        </w:rPr>
        <w:t>использована</w:t>
      </w:r>
      <w:proofErr w:type="gramEnd"/>
    </w:p>
    <w:p w:rsidR="006F585B" w:rsidRDefault="006F585B" w:rsidP="006F58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возможность реализации программ внеурочной деятельности. Привлечение обучающихся к участию в </w:t>
      </w:r>
      <w:proofErr w:type="spellStart"/>
      <w:r w:rsidRPr="006F585B">
        <w:rPr>
          <w:rFonts w:ascii="Times New Roman" w:eastAsia="Calibri" w:hAnsi="Times New Roman" w:cs="Times New Roman"/>
          <w:sz w:val="24"/>
          <w:szCs w:val="24"/>
        </w:rPr>
        <w:t>компетентностных</w:t>
      </w:r>
      <w:proofErr w:type="spell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конкурсах разного уровня будет способствовать формированию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школьников умений выполнения </w:t>
      </w:r>
      <w:proofErr w:type="spellStart"/>
      <w:r w:rsidRPr="006F585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заданий, умений применять полученные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85B">
        <w:rPr>
          <w:rFonts w:ascii="Times New Roman" w:eastAsia="Calibri" w:hAnsi="Times New Roman" w:cs="Times New Roman"/>
          <w:sz w:val="24"/>
          <w:szCs w:val="24"/>
        </w:rPr>
        <w:t>ранее знания в нестандартных ситуациях.</w:t>
      </w:r>
    </w:p>
    <w:p w:rsidR="006F585B" w:rsidRDefault="006F585B" w:rsidP="006F585B">
      <w:pPr>
        <w:rPr>
          <w:rFonts w:ascii="Times New Roman" w:eastAsia="Calibri" w:hAnsi="Times New Roman" w:cs="Times New Roman"/>
          <w:sz w:val="24"/>
          <w:szCs w:val="24"/>
        </w:rPr>
      </w:pPr>
    </w:p>
    <w:p w:rsidR="006F585B" w:rsidRPr="006F585B" w:rsidRDefault="006F585B" w:rsidP="006F585B">
      <w:pPr>
        <w:tabs>
          <w:tab w:val="left" w:pos="11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Зам. директора по УВР                              О.И. Орлова</w:t>
      </w:r>
      <w:bookmarkStart w:id="0" w:name="_GoBack"/>
      <w:bookmarkEnd w:id="0"/>
    </w:p>
    <w:sectPr w:rsidR="006F585B" w:rsidRPr="006F585B" w:rsidSect="006F58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7"/>
    <w:rsid w:val="00426654"/>
    <w:rsid w:val="006F585B"/>
    <w:rsid w:val="009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4.8837489063867014E-2"/>
                  <c:y val="-3.078083989501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705781568970539E-2"/>
                  <c:y val="-6.3723597050368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65319800786238"/>
                  <c:y val="8.330764960735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3.9E-2</c:v>
                </c:pt>
                <c:pt idx="1">
                  <c:v>0.46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4.8837489063867014E-2"/>
                  <c:y val="-3.078083989501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705781568970539E-2"/>
                  <c:y val="-6.3723597050368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65319800786238"/>
                  <c:y val="8.330764960735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9.5000000000000001E-2</c:v>
                </c:pt>
                <c:pt idx="1">
                  <c:v>0.56999999999999995</c:v>
                </c:pt>
                <c:pt idx="2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0.11511628028344395"/>
                  <c:y val="3.4308570246366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41566769964293"/>
                  <c:y val="-0.145831357860800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65319800786238"/>
                  <c:y val="8.330764960735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</c:v>
                </c:pt>
                <c:pt idx="1">
                  <c:v>0.43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8.0651265613371839E-2"/>
                  <c:y val="0.112908013867824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578708511773138E-2"/>
                  <c:y val="-0.28267788017315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65319800786238"/>
                  <c:y val="8.330764960735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0.32762660047825165"/>
                  <c:y val="0.181330696974023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879289991472467"/>
                  <c:y val="-0.21425465830143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65319800786238"/>
                  <c:y val="8.330764960735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0.67</c:v>
                </c:pt>
                <c:pt idx="2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45749645381933"/>
          <c:y val="0.28979449950686348"/>
          <c:w val="0.34128672867307608"/>
          <c:h val="0.39323687634523019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6.41104183810733E-2"/>
                  <c:y val="0.121146673272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2327870711263E-2"/>
                  <c:y val="-0.28578107795701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161332588297318E-3"/>
                  <c:y val="-4.5012560423807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2292690721100403"/>
                  <c:y val="0.65621284518922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0.56999999999999995</c:v>
                </c:pt>
                <c:pt idx="2">
                  <c:v>0.24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6.41104183810733E-2"/>
                  <c:y val="0.121146673272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2327870711263E-2"/>
                  <c:y val="-0.28578107795701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161332588297318E-3"/>
                  <c:y val="-4.5012560423807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14621585891664E-2"/>
                  <c:y val="9.2239595360321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0.47</c:v>
                </c:pt>
                <c:pt idx="2">
                  <c:v>0.16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cp:lastPrinted>2015-12-02T07:36:00Z</cp:lastPrinted>
  <dcterms:created xsi:type="dcterms:W3CDTF">2015-12-02T07:26:00Z</dcterms:created>
  <dcterms:modified xsi:type="dcterms:W3CDTF">2015-12-02T07:36:00Z</dcterms:modified>
</cp:coreProperties>
</file>